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93D4A">
              <w:rPr>
                <w:b/>
                <w:color w:val="FFFFFF" w:themeColor="background1"/>
                <w:sz w:val="28"/>
                <w:szCs w:val="28"/>
              </w:rPr>
              <w:t>Redni broj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349C" w:rsidRPr="0078349C" w:rsidRDefault="00A93D4A" w:rsidP="0078349C">
            <w:pPr>
              <w:jc w:val="center"/>
              <w:rPr>
                <w:rFonts w:eastAsia="Times New Roman" w:cs="Times New Roman"/>
                <w:b/>
                <w:lang w:val="hr-BA" w:eastAsia="hr-BA"/>
              </w:rPr>
            </w:pPr>
            <w:r w:rsidRPr="0078349C">
              <w:rPr>
                <w:b/>
                <w:color w:val="FFFFFF" w:themeColor="background1"/>
              </w:rPr>
              <w:t>govori</w:t>
            </w:r>
            <w:r w:rsidR="0078349C" w:rsidRPr="0078349C">
              <w:rPr>
                <w:rFonts w:eastAsia="Times New Roman" w:cs="Times New Roman"/>
                <w:b/>
                <w:lang w:val="hr-BA" w:eastAsia="hr-BA"/>
              </w:rPr>
              <w:t xml:space="preserve"> </w:t>
            </w:r>
            <w:r w:rsidR="0078349C" w:rsidRPr="0078349C">
              <w:rPr>
                <w:rFonts w:eastAsia="Times New Roman" w:cs="Times New Roman"/>
                <w:b/>
                <w:lang w:val="hr-BA" w:eastAsia="hr-BA"/>
              </w:rPr>
              <w:t>ZAKON O HUMANITARNOJ POMOĆI</w:t>
            </w:r>
          </w:p>
          <w:p w:rsidR="00A93D4A" w:rsidRPr="0078349C" w:rsidRDefault="0078349C" w:rsidP="003004D5">
            <w:pPr>
              <w:spacing w:line="0" w:lineRule="atLeast"/>
              <w:rPr>
                <w:b/>
                <w:color w:val="FFFFFF" w:themeColor="background1"/>
              </w:rPr>
            </w:pPr>
            <w:r w:rsidRPr="0078349C">
              <w:rPr>
                <w:b/>
                <w:color w:val="FFFFFF" w:themeColor="background1"/>
              </w:rPr>
              <w:t xml:space="preserve">_ - </w:t>
            </w: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78349C" w:rsidRDefault="00A93D4A" w:rsidP="00A93D4A">
            <w:pPr>
              <w:spacing w:line="0" w:lineRule="atLeast"/>
              <w:jc w:val="center"/>
              <w:rPr>
                <w:b/>
                <w:color w:val="FFFFFF" w:themeColor="background1"/>
              </w:rPr>
            </w:pPr>
            <w:r w:rsidRPr="0078349C">
              <w:rPr>
                <w:b/>
                <w:color w:val="FFFFFF" w:themeColor="background1"/>
              </w:rPr>
              <w:t>TALNO PKUPLJANJE I PRUŽANJE HUMANITARNE POMOĆI</w:t>
            </w:r>
          </w:p>
          <w:p w:rsidR="0078349C" w:rsidRPr="0078349C" w:rsidRDefault="00305588" w:rsidP="0078349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bookmarkStart w:id="0" w:name="_GoBack"/>
            <w:bookmarkEnd w:id="0"/>
            <w:r w:rsidR="0078349C" w:rsidRPr="0078349C">
              <w:rPr>
                <w:rFonts w:cs="Times New Roman"/>
                <w:b/>
              </w:rPr>
              <w:t xml:space="preserve">ojašnjenja  - </w:t>
            </w:r>
          </w:p>
          <w:p w:rsidR="00A93D4A" w:rsidRPr="0078349C" w:rsidRDefault="0078349C" w:rsidP="0078349C">
            <w:pPr>
              <w:pStyle w:val="Odlomakpopisa"/>
              <w:numPr>
                <w:ilvl w:val="0"/>
                <w:numId w:val="1"/>
              </w:numPr>
              <w:spacing w:line="0" w:lineRule="atLeast"/>
              <w:jc w:val="center"/>
              <w:rPr>
                <w:b/>
                <w:color w:val="FFFFFF" w:themeColor="background1"/>
              </w:rPr>
            </w:pPr>
            <w:r w:rsidRPr="0078349C">
              <w:rPr>
                <w:b/>
                <w:color w:val="FFFFFF" w:themeColor="background1"/>
              </w:rPr>
              <w:t>po</w:t>
            </w: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</w:pPr>
            <w:r w:rsidRPr="00A93D4A"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  <w:rPr>
                <w:b/>
              </w:rPr>
            </w:pPr>
            <w:r w:rsidRPr="00A93D4A">
              <w:rPr>
                <w:b/>
              </w:rPr>
              <w:t xml:space="preserve">Tko je stalni </w:t>
            </w:r>
            <w:proofErr w:type="spellStart"/>
            <w:r w:rsidRPr="00A93D4A">
              <w:rPr>
                <w:b/>
              </w:rPr>
              <w:t>prikupljatelj</w:t>
            </w:r>
            <w:proofErr w:type="spellEnd"/>
            <w:r w:rsidRPr="00A93D4A">
              <w:rPr>
                <w:b/>
              </w:rPr>
              <w:t xml:space="preserve">?  Je li se stalnim </w:t>
            </w:r>
            <w:proofErr w:type="spellStart"/>
            <w:r w:rsidRPr="00A93D4A">
              <w:rPr>
                <w:b/>
              </w:rPr>
              <w:t>prikupljateljem</w:t>
            </w:r>
            <w:proofErr w:type="spellEnd"/>
            <w:r w:rsidRPr="00A93D4A">
              <w:rPr>
                <w:b/>
              </w:rPr>
              <w:t xml:space="preserve"> smatra onaj </w:t>
            </w:r>
            <w:proofErr w:type="spellStart"/>
            <w:r w:rsidRPr="00A93D4A">
              <w:rPr>
                <w:b/>
              </w:rPr>
              <w:t>prikupljatelj</w:t>
            </w:r>
            <w:proofErr w:type="spellEnd"/>
            <w:r w:rsidRPr="00A93D4A">
              <w:rPr>
                <w:b/>
              </w:rPr>
              <w:t xml:space="preserve"> koji ima kontinuitet i koji pomoć prikuplja  svakodnevno?</w:t>
            </w: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</w:pP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t xml:space="preserve">Stalni </w:t>
            </w:r>
            <w:proofErr w:type="spellStart"/>
            <w:r w:rsidRPr="00A93D4A">
              <w:t>prikupljatelji</w:t>
            </w:r>
            <w:proofErr w:type="spellEnd"/>
            <w:r w:rsidRPr="00A93D4A">
              <w:t xml:space="preserve"> su neprofitne pravne osobe koje prikupljaju i pružaju humanitarnu pomoć na temelju javne ovlasti propisane posebnim zakonom /</w:t>
            </w:r>
            <w:r w:rsidRPr="00A93D4A">
              <w:rPr>
                <w:bCs/>
              </w:rPr>
              <w:t>npr. Hrvatski Crveni križ/</w:t>
            </w:r>
            <w:r w:rsidRPr="00A93D4A">
              <w:t xml:space="preserve">,  neprofitne pravne osobe kojima je  prikupljanje i pružanje humanitarne pomoći registrirana djelatnost (npr. Hrvatski Caritas), </w:t>
            </w:r>
            <w:r w:rsidRPr="00A93D4A">
              <w:rPr>
                <w:bCs/>
              </w:rPr>
              <w:t xml:space="preserve">uz uvjete propisane Zakonom o humanitarnoj pomoći, te zaklade i </w:t>
            </w:r>
            <w:proofErr w:type="spellStart"/>
            <w:r w:rsidRPr="00A93D4A">
              <w:rPr>
                <w:bCs/>
              </w:rPr>
              <w:t>fundacije</w:t>
            </w:r>
            <w:proofErr w:type="spellEnd"/>
            <w:r w:rsidRPr="00A93D4A">
              <w:rPr>
                <w:bCs/>
              </w:rPr>
              <w:t xml:space="preserve"> čija je zakladna svrha sukladna dopuštenim svrhama prikupljanja i pružanja humanitarne pomoći navedenim u članku 2. stavku 1. Zakona o humanitarnoj pomoći.</w:t>
            </w:r>
          </w:p>
          <w:p w:rsidR="00A93D4A" w:rsidRPr="00A93D4A" w:rsidRDefault="00A93D4A" w:rsidP="00A93D4A">
            <w:pPr>
              <w:spacing w:line="0" w:lineRule="atLeast"/>
            </w:pP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</w:pPr>
            <w:r>
              <w:t>2</w:t>
            </w:r>
            <w:r w:rsidRPr="00A93D4A"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  <w:rPr>
                <w:b/>
              </w:rPr>
            </w:pPr>
            <w:r w:rsidRPr="00A93D4A">
              <w:rPr>
                <w:b/>
              </w:rPr>
              <w:t>Koliko opširno treba navoditi planirane aktivnosti, odnosno dati njihov opis, u  Trogodišnjem Programu rada pravne osobe koja podnosi Zahtjev za  stalno prikupljanje i pružanje humanitarne pomoći?</w:t>
            </w:r>
          </w:p>
          <w:p w:rsidR="00A93D4A" w:rsidRPr="00A93D4A" w:rsidRDefault="00A93D4A" w:rsidP="00A93D4A">
            <w:pPr>
              <w:spacing w:line="0" w:lineRule="atLeast"/>
              <w:jc w:val="both"/>
              <w:rPr>
                <w:b/>
              </w:rPr>
            </w:pPr>
            <w:r w:rsidRPr="00A93D4A">
              <w:rPr>
                <w:b/>
              </w:rPr>
              <w:t xml:space="preserve">Koliko aktivnosti (koji broj) moraju navesti podnositelji Zahtjeva za stalno prikupljanje u pružanje humanitarne pomoći u Trogodišnjem Programu rada, da bi ispunili ovaj uvjet za dobivanje statusa „stalnog </w:t>
            </w:r>
            <w:proofErr w:type="spellStart"/>
            <w:r w:rsidRPr="00A93D4A">
              <w:rPr>
                <w:b/>
              </w:rPr>
              <w:t>prikupljatelja</w:t>
            </w:r>
            <w:proofErr w:type="spellEnd"/>
            <w:r w:rsidRPr="00A93D4A">
              <w:rPr>
                <w:b/>
              </w:rPr>
              <w:t>“?</w:t>
            </w: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rPr>
                <w:b/>
              </w:rPr>
              <w:t xml:space="preserve">Što će se desiti ako stalni </w:t>
            </w:r>
            <w:proofErr w:type="spellStart"/>
            <w:r w:rsidRPr="00A93D4A">
              <w:rPr>
                <w:b/>
              </w:rPr>
              <w:t>prikupljatelj</w:t>
            </w:r>
            <w:proofErr w:type="spellEnd"/>
            <w:r w:rsidRPr="00A93D4A">
              <w:rPr>
                <w:b/>
              </w:rPr>
              <w:t xml:space="preserve"> provede planirane aktivnosti u jednoj, ali ne i u drugoj godini Trogodišnjeg programa rada?</w:t>
            </w: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</w:pP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t>U Trogodišnjem Programu rada pravne osobe koja podnosi Zahtjev za  stalno prikupljanje i pružanje humanitarne pomoći (</w:t>
            </w:r>
            <w:r w:rsidRPr="00A93D4A">
              <w:rPr>
                <w:i/>
              </w:rPr>
              <w:t>Obrazac broj 2. Pravilnika o obrascima za prikupljanje humanitarne pomoći</w:t>
            </w:r>
            <w:r w:rsidRPr="00A93D4A">
              <w:t>), sve planirane aktivnosti potrebno je navesti konkretno, kratko i jasno.</w:t>
            </w: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t>Kako bi navedeni Trogodišnji Program rada bio „valjan“, podnositelji Zahtjeva za  stalno prikupljanje i pružanje humanitarne pomoći u njemu moraju navesti najmanje po jednu aktivnost za svaku godinu.</w:t>
            </w: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t>Ukoliko nadležni ured državne uprave iz Izvješća o provedbi trogodišnjeg Programa rada pravne osobe kojoj je odobreno  stalno prikupljanje i pružanje humanitarne pomoći (</w:t>
            </w:r>
            <w:r w:rsidRPr="00A93D4A">
              <w:rPr>
                <w:i/>
              </w:rPr>
              <w:t>Obrazac broj 2. Pravilnika o obrascima za prikupljanje humanitarne pomoći</w:t>
            </w:r>
            <w:r w:rsidRPr="00A93D4A">
              <w:t xml:space="preserve">), utvrdi da je stalni </w:t>
            </w:r>
            <w:proofErr w:type="spellStart"/>
            <w:r w:rsidRPr="00A93D4A">
              <w:t>prikupljatelj</w:t>
            </w:r>
            <w:proofErr w:type="spellEnd"/>
            <w:r w:rsidRPr="00A93D4A">
              <w:t xml:space="preserve"> proveo planirane aktivnosti u jednoj , ali ne i u drugoj godini Trogodišnjeg programa rada, onda će mu po službenoj dužnosti morati ukinuti rješenje kojim se</w:t>
            </w:r>
            <w:r w:rsidRPr="00A93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D4A">
              <w:t xml:space="preserve"> odobrava stalno prikupljanje i pružanje humanitarne pomoći, te izvršiti brisanje organizatora stalnog prikupljanje i pružanje humanitarne pomoći iz evidencije koju vodi na području svoje nadležnosti sukladno članu 49. stavka 2. Zakona o humanitarnoj pomoći. </w:t>
            </w:r>
          </w:p>
          <w:p w:rsidR="00A93D4A" w:rsidRPr="00A93D4A" w:rsidRDefault="00A93D4A" w:rsidP="00A93D4A">
            <w:pPr>
              <w:spacing w:line="0" w:lineRule="atLeast"/>
              <w:jc w:val="both"/>
            </w:pP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</w:pPr>
            <w:r>
              <w:t>3</w:t>
            </w:r>
            <w:r w:rsidRPr="00A93D4A"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  <w:rPr>
                <w:b/>
              </w:rPr>
            </w:pPr>
            <w:r w:rsidRPr="00A93D4A">
              <w:rPr>
                <w:b/>
              </w:rPr>
              <w:t xml:space="preserve">Ako stalni </w:t>
            </w:r>
            <w:proofErr w:type="spellStart"/>
            <w:r w:rsidRPr="00A93D4A">
              <w:rPr>
                <w:b/>
              </w:rPr>
              <w:t>prikupljatelj</w:t>
            </w:r>
            <w:proofErr w:type="spellEnd"/>
            <w:r w:rsidRPr="00A93D4A">
              <w:rPr>
                <w:b/>
              </w:rPr>
              <w:t xml:space="preserve"> organizira humanitarnu akciju, primjerice humanitarni koncert koji je i naveo kao aktivnost u svom Trogodišnjem Programu rada pravne osobe koja podnosi Zahtjev za  stalno prikupljanje i pružanje humanitarne pomoći, mora li spomenutu aktivnost prijaviti kao humanitarnu akciju?</w:t>
            </w:r>
          </w:p>
          <w:p w:rsidR="00A93D4A" w:rsidRPr="00A93D4A" w:rsidRDefault="00A93D4A" w:rsidP="00A93D4A">
            <w:pPr>
              <w:spacing w:line="0" w:lineRule="atLeast"/>
              <w:rPr>
                <w:b/>
              </w:rPr>
            </w:pPr>
            <w:r w:rsidRPr="00A93D4A">
              <w:rPr>
                <w:b/>
              </w:rPr>
              <w:t xml:space="preserve"> </w:t>
            </w: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</w:pP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t xml:space="preserve">Da, stalni </w:t>
            </w:r>
            <w:proofErr w:type="spellStart"/>
            <w:r w:rsidRPr="00A93D4A">
              <w:t>prikupljatelj</w:t>
            </w:r>
            <w:proofErr w:type="spellEnd"/>
            <w:r w:rsidRPr="00A93D4A">
              <w:t xml:space="preserve"> mora prijaviti svaku aktivnost koja ima obilježja humanitarne akcije, te o istoj, po njenom završetku, nadležnom uredu državne uprave u županiji podnijeti Izvješće o provedenoj humanitarnoj akciji (</w:t>
            </w:r>
            <w:r w:rsidRPr="00A93D4A">
              <w:rPr>
                <w:i/>
              </w:rPr>
              <w:t>Obrazac broj 8. Pravilnika o obrascima za prikupljanje humanitarne pomoći</w:t>
            </w:r>
            <w:r w:rsidRPr="00A93D4A">
              <w:t>).</w:t>
            </w: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t xml:space="preserve">Napominjemo da stalni </w:t>
            </w:r>
            <w:proofErr w:type="spellStart"/>
            <w:r w:rsidRPr="00A93D4A">
              <w:t>prikupljatelj</w:t>
            </w:r>
            <w:proofErr w:type="spellEnd"/>
            <w:r w:rsidRPr="00A93D4A">
              <w:t xml:space="preserve">, koji organizira humanitarnu akciju, izvršnošću rješenja o odobrenju provođenja humanitarne akcije stječe pravo korištenja logotipa humanitarne akcije, te </w:t>
            </w:r>
            <w:r w:rsidRPr="00A93D4A">
              <w:lastRenderedPageBreak/>
              <w:t xml:space="preserve">uz njega može koristiti i </w:t>
            </w:r>
            <w:r w:rsidRPr="00A93D4A">
              <w:rPr>
                <w:iCs/>
              </w:rPr>
              <w:t xml:space="preserve">logotip za stalno prikupljanje i pružanje humanitarne pomoći, </w:t>
            </w:r>
            <w:r w:rsidRPr="00A93D4A">
              <w:t xml:space="preserve">koji služi za prepoznavanje stalnog </w:t>
            </w:r>
            <w:proofErr w:type="spellStart"/>
            <w:r w:rsidRPr="00A93D4A">
              <w:t>prikupljača</w:t>
            </w:r>
            <w:proofErr w:type="spellEnd"/>
            <w:r w:rsidRPr="00A93D4A">
              <w:t xml:space="preserve"> humanitarne pomoći.</w:t>
            </w: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t xml:space="preserve">Važno je istaknuti da stalni </w:t>
            </w:r>
            <w:proofErr w:type="spellStart"/>
            <w:r w:rsidRPr="00A93D4A">
              <w:t>prikupljatelji</w:t>
            </w:r>
            <w:proofErr w:type="spellEnd"/>
            <w:r w:rsidRPr="00A93D4A">
              <w:t xml:space="preserve"> prilikom podnošenja Zahtjeva za izdavanje rješenja o odobrenju provođenja humanitarne akcije podnose  nadležnom uredu državne uprave sljedeću dokumentaciju: Plan provođenja humanitarne akcije (Obrazac broj 6. Pravilnika o obrascima za prikupljanje humanitarne pomoći), Plan korištenja prikupljene humanitarne pomoći (Obrazac broj 7. Pravilnika o obrascima za prikupljanje humanitarne pomoći), te dokaz o otvorenom računu za humanitarnu akciju.</w:t>
            </w:r>
          </w:p>
          <w:p w:rsidR="00A93D4A" w:rsidRPr="00A93D4A" w:rsidRDefault="00A93D4A" w:rsidP="00A93D4A">
            <w:pPr>
              <w:spacing w:line="0" w:lineRule="atLeast"/>
            </w:pP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  <w:rPr>
                <w:color w:val="FFFFFF" w:themeColor="background1"/>
              </w:rPr>
            </w:pPr>
            <w:r w:rsidRPr="00A93D4A">
              <w:lastRenderedPageBreak/>
              <w:br w:type="page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  <w:rPr>
                <w:color w:val="FFFFFF" w:themeColor="background1"/>
              </w:rPr>
            </w:pPr>
            <w:r>
              <w:t>4</w:t>
            </w:r>
            <w:r w:rsidRPr="00A93D4A"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rPr>
                <w:b/>
              </w:rPr>
            </w:pPr>
            <w:r w:rsidRPr="00A93D4A">
              <w:rPr>
                <w:b/>
              </w:rPr>
              <w:t>Što je humanitarna akcija?</w:t>
            </w: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  <w:rPr>
                <w:color w:val="FFFFFF" w:themeColor="background1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</w:pPr>
          </w:p>
          <w:p w:rsidR="00A93D4A" w:rsidRPr="00A93D4A" w:rsidRDefault="00A93D4A" w:rsidP="00A93D4A">
            <w:pPr>
              <w:spacing w:line="0" w:lineRule="atLeast"/>
              <w:jc w:val="both"/>
              <w:rPr>
                <w:i/>
                <w:iCs/>
              </w:rPr>
            </w:pPr>
            <w:r w:rsidRPr="00A93D4A">
              <w:t>Humanitarna akcija se može definirati kao vremenski ograničeno, organizirano prikupljanje humanitarne pomoći za određenog korisnika, odnosno korisnike ili za definiranu svrhu</w:t>
            </w:r>
            <w:r w:rsidRPr="00A93D4A">
              <w:rPr>
                <w:i/>
                <w:iCs/>
              </w:rPr>
              <w:t>.</w:t>
            </w:r>
          </w:p>
          <w:p w:rsidR="00A93D4A" w:rsidRPr="00A93D4A" w:rsidRDefault="00A93D4A" w:rsidP="00A93D4A">
            <w:pPr>
              <w:spacing w:line="0" w:lineRule="atLeast"/>
              <w:jc w:val="both"/>
            </w:pP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  <w:rPr>
                <w:color w:val="FFFFFF" w:themeColor="background1"/>
              </w:rPr>
            </w:pPr>
            <w:r>
              <w:t>5</w:t>
            </w:r>
            <w:r w:rsidRPr="00A93D4A"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rPr>
                <w:b/>
              </w:rPr>
            </w:pPr>
            <w:r w:rsidRPr="00A93D4A">
              <w:rPr>
                <w:b/>
              </w:rPr>
              <w:t>Koje pravne i fizičke osobe organiziraju humanitarne akcije?</w:t>
            </w:r>
          </w:p>
        </w:tc>
      </w:tr>
      <w:tr w:rsidR="00A93D4A" w:rsidRPr="00A93D4A" w:rsidTr="003004D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  <w:rPr>
                <w:color w:val="FFFFFF" w:themeColor="background1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</w:pPr>
          </w:p>
          <w:p w:rsidR="00A93D4A" w:rsidRPr="00A93D4A" w:rsidRDefault="00A93D4A" w:rsidP="003004D5">
            <w:pPr>
              <w:spacing w:line="0" w:lineRule="atLeast"/>
              <w:jc w:val="both"/>
            </w:pPr>
            <w:r w:rsidRPr="00A93D4A">
              <w:t xml:space="preserve">Humanitarne akcije, sukladno Zakonu o humanitarnoj pomoći, mogu organizirati stalni </w:t>
            </w:r>
            <w:proofErr w:type="spellStart"/>
            <w:r w:rsidRPr="00A93D4A">
              <w:t>prikupljatelji</w:t>
            </w:r>
            <w:proofErr w:type="spellEnd"/>
            <w:r w:rsidRPr="00A93D4A">
              <w:t xml:space="preserve">, </w:t>
            </w:r>
            <w:r w:rsidRPr="00A93D4A">
              <w:rPr>
                <w:bCs/>
              </w:rPr>
              <w:t>neprofitne i profitne pravne osobe registrirane u Republici Hrvatskoj, odnosno upisane u odgovarajući upisnik u Republici Hrvatskoj, te fizičke osobe koje imaju prebivalište/boravište u Republici Hrvatskoj.</w:t>
            </w: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  <w:rPr>
                <w:color w:val="FFFFFF" w:themeColor="background1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  <w:rPr>
                <w:b/>
              </w:rPr>
            </w:pPr>
          </w:p>
        </w:tc>
      </w:tr>
      <w:tr w:rsidR="00A93D4A" w:rsidRPr="00A93D4A" w:rsidTr="00A93D4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  <w:rPr>
                <w:color w:val="FFFFFF" w:themeColor="background1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</w:pPr>
          </w:p>
        </w:tc>
      </w:tr>
      <w:tr w:rsidR="00A93D4A" w:rsidRPr="00A93D4A" w:rsidTr="00A93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993" w:type="dxa"/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  <w:rPr>
                <w:color w:val="FFFFFF" w:themeColor="background1"/>
              </w:rPr>
            </w:pPr>
            <w:r w:rsidRPr="00A93D4A">
              <w:br w:type="page"/>
            </w:r>
            <w:r>
              <w:t>6</w:t>
            </w:r>
            <w:r w:rsidRPr="00A93D4A">
              <w:t>.</w:t>
            </w:r>
          </w:p>
        </w:tc>
        <w:tc>
          <w:tcPr>
            <w:tcW w:w="8930" w:type="dxa"/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rPr>
                <w:b/>
              </w:rPr>
            </w:pPr>
            <w:r w:rsidRPr="00A93D4A">
              <w:rPr>
                <w:b/>
              </w:rPr>
              <w:t>Mogu li fizičke i pravne osobe biti organizatori humanitarnih akcija koje imaju za cilj prikupljanje sredstava za svoje potrebe?</w:t>
            </w:r>
          </w:p>
        </w:tc>
      </w:tr>
      <w:tr w:rsidR="00A93D4A" w:rsidRPr="00A93D4A" w:rsidTr="00A93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993" w:type="dxa"/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</w:pPr>
          </w:p>
        </w:tc>
        <w:tc>
          <w:tcPr>
            <w:tcW w:w="8930" w:type="dxa"/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</w:pP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t>Fizička osoba ne može biti organizator humanitarne akcije radi prikupljanja pomoći za svoje osobne potrebe. Međutim, fizička osoba može biti organizator humanitarne akcije radi prikupljanja pomoći za člana svoje obitelji.</w:t>
            </w: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t>Prikupljanje pomoći za osobne potrebe fizičke ili pravne osobe ne smatra se humanitarnom akcijom prema Zakonu o humanitarnoj pomoći.</w:t>
            </w: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rPr>
                <w:bCs/>
              </w:rPr>
              <w:t>Naime, fizička i pravna osoba ne mogu organizirati humanitarnu akciju radi podmirenja vlastitih troškova redovnog poslovanja (materijalni troškovi, troškovi vodoopskrbe i odvodnje, troškovi energenata i dr. komunalnih usluga, i sl.), niti troškova redovnog poslovanja bilo koje druge pravne osobe. O</w:t>
            </w:r>
            <w:r w:rsidRPr="00A93D4A">
              <w:t>vakvo prikupljanje pomoći, odnosno sredstava smatra se donacijom i nije humanitarna akcija u smislu Zakonu o humanitarnoj pomoći.</w:t>
            </w: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t xml:space="preserve">Ujedno, humanitarnom akcijom u smislu Zakona o humanitarnoj pomoći ne smatraju se dobrotvorne priredbe i slične aktivnosti koje zaklada, odnosno </w:t>
            </w:r>
            <w:proofErr w:type="spellStart"/>
            <w:r w:rsidRPr="00A93D4A">
              <w:t>fundacija</w:t>
            </w:r>
            <w:proofErr w:type="spellEnd"/>
            <w:r w:rsidRPr="00A93D4A">
              <w:t xml:space="preserve"> organizira radi stjecanja imovine u skladu s posebnim propisom kojim se uređuje djelovanje zaklada, odnosno </w:t>
            </w:r>
            <w:proofErr w:type="spellStart"/>
            <w:r w:rsidRPr="00A93D4A">
              <w:t>fundacija</w:t>
            </w:r>
            <w:proofErr w:type="spellEnd"/>
            <w:r w:rsidRPr="00A93D4A">
              <w:t>.</w:t>
            </w:r>
          </w:p>
          <w:p w:rsidR="00A93D4A" w:rsidRPr="00A93D4A" w:rsidRDefault="00A93D4A" w:rsidP="00A93D4A">
            <w:pPr>
              <w:spacing w:line="0" w:lineRule="atLeast"/>
              <w:rPr>
                <w:b/>
              </w:rPr>
            </w:pPr>
          </w:p>
        </w:tc>
      </w:tr>
      <w:tr w:rsidR="00A93D4A" w:rsidRPr="00A93D4A" w:rsidTr="00A93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993" w:type="dxa"/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</w:pPr>
            <w:r>
              <w:t>7</w:t>
            </w:r>
            <w:r w:rsidRPr="00A93D4A">
              <w:t>.</w:t>
            </w:r>
          </w:p>
        </w:tc>
        <w:tc>
          <w:tcPr>
            <w:tcW w:w="8930" w:type="dxa"/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  <w:rPr>
                <w:b/>
              </w:rPr>
            </w:pPr>
            <w:r w:rsidRPr="00A93D4A">
              <w:rPr>
                <w:b/>
              </w:rPr>
              <w:t>Da li se tijekom trajanja humanitarne akcije može dodijeliti humanitarna pomoć korisniku?</w:t>
            </w:r>
          </w:p>
        </w:tc>
      </w:tr>
      <w:tr w:rsidR="00A93D4A" w:rsidRPr="00A93D4A" w:rsidTr="00A93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993" w:type="dxa"/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</w:pPr>
          </w:p>
        </w:tc>
        <w:tc>
          <w:tcPr>
            <w:tcW w:w="8930" w:type="dxa"/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</w:pP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t xml:space="preserve">Da, u iznimnim situacijama </w:t>
            </w:r>
            <w:r w:rsidRPr="00A93D4A">
              <w:rPr>
                <w:lang w:val="hr-BA"/>
              </w:rPr>
              <w:t xml:space="preserve">korisniku humanitarne akcije se tijekom njenog trajanja može dodijeliti humanitarna pomoć, odnosno mogu se izvršiti </w:t>
            </w:r>
            <w:r w:rsidRPr="00A93D4A">
              <w:t xml:space="preserve">isplate na temelju pisane izjave korisnika, odnosno njegovog zakonskog zastupnika sukladno specifikaciji materijalnih potreba korisnika vezanih uz svrhu humanitarne akcije. </w:t>
            </w:r>
          </w:p>
          <w:p w:rsidR="00A93D4A" w:rsidRPr="00A93D4A" w:rsidRDefault="00A93D4A" w:rsidP="00A93D4A">
            <w:pPr>
              <w:spacing w:line="0" w:lineRule="atLeast"/>
              <w:jc w:val="both"/>
            </w:pPr>
            <w:r w:rsidRPr="00A93D4A">
              <w:t>Iznimno, ako korisnik nije u mogućnosti dati izjavu, a nema zakonskog zastupnika, isplate korisniku vršile bi se na temelju pisane izjave člana obitelji korisnika.</w:t>
            </w:r>
          </w:p>
          <w:p w:rsidR="00A93D4A" w:rsidRPr="00A93D4A" w:rsidRDefault="00A93D4A" w:rsidP="00A93D4A">
            <w:pPr>
              <w:spacing w:line="0" w:lineRule="atLeast"/>
              <w:jc w:val="both"/>
            </w:pPr>
          </w:p>
        </w:tc>
      </w:tr>
      <w:tr w:rsidR="00A93D4A" w:rsidRPr="00A93D4A" w:rsidTr="00A93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151"/>
        </w:trPr>
        <w:tc>
          <w:tcPr>
            <w:tcW w:w="993" w:type="dxa"/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</w:pPr>
          </w:p>
        </w:tc>
        <w:tc>
          <w:tcPr>
            <w:tcW w:w="8930" w:type="dxa"/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  <w:rPr>
                <w:b/>
              </w:rPr>
            </w:pPr>
          </w:p>
        </w:tc>
      </w:tr>
      <w:tr w:rsidR="00A93D4A" w:rsidRPr="00A93D4A" w:rsidTr="00A93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993" w:type="dxa"/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center"/>
            </w:pPr>
          </w:p>
        </w:tc>
        <w:tc>
          <w:tcPr>
            <w:tcW w:w="8930" w:type="dxa"/>
            <w:shd w:val="clear" w:color="auto" w:fill="FFFFFF" w:themeFill="background1"/>
          </w:tcPr>
          <w:p w:rsidR="00A93D4A" w:rsidRPr="00A93D4A" w:rsidRDefault="00A93D4A" w:rsidP="00A93D4A">
            <w:pPr>
              <w:spacing w:line="0" w:lineRule="atLeast"/>
              <w:jc w:val="both"/>
              <w:rPr>
                <w:b/>
              </w:rPr>
            </w:pPr>
          </w:p>
        </w:tc>
      </w:tr>
    </w:tbl>
    <w:p w:rsidR="00A93D4A" w:rsidRPr="00A93D4A" w:rsidRDefault="00A93D4A" w:rsidP="003004D5"/>
    <w:sectPr w:rsidR="00A93D4A" w:rsidRPr="00A93D4A" w:rsidSect="002C5F5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25" w:rsidRDefault="009F2C25">
      <w:pPr>
        <w:spacing w:after="0" w:line="240" w:lineRule="auto"/>
      </w:pPr>
      <w:r>
        <w:separator/>
      </w:r>
    </w:p>
  </w:endnote>
  <w:endnote w:type="continuationSeparator" w:id="0">
    <w:p w:rsidR="009F2C25" w:rsidRDefault="009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25" w:rsidRDefault="009F2C25">
      <w:pPr>
        <w:spacing w:after="0" w:line="240" w:lineRule="auto"/>
      </w:pPr>
      <w:r>
        <w:separator/>
      </w:r>
    </w:p>
  </w:footnote>
  <w:footnote w:type="continuationSeparator" w:id="0">
    <w:p w:rsidR="009F2C25" w:rsidRDefault="009F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42425"/>
      <w:docPartObj>
        <w:docPartGallery w:val="Page Numbers (Top of Page)"/>
        <w:docPartUnique/>
      </w:docPartObj>
    </w:sdtPr>
    <w:sdtEndPr/>
    <w:sdtContent>
      <w:p w:rsidR="002C5F51" w:rsidRDefault="003004D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88">
          <w:rPr>
            <w:noProof/>
          </w:rPr>
          <w:t>2</w:t>
        </w:r>
        <w:r>
          <w:fldChar w:fldCharType="end"/>
        </w:r>
      </w:p>
    </w:sdtContent>
  </w:sdt>
  <w:p w:rsidR="002C5F51" w:rsidRDefault="009F2C2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E5E7B"/>
    <w:multiLevelType w:val="hybridMultilevel"/>
    <w:tmpl w:val="7980BE36"/>
    <w:lvl w:ilvl="0" w:tplc="6F48A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4A"/>
    <w:rsid w:val="003004D5"/>
    <w:rsid w:val="00305588"/>
    <w:rsid w:val="0078349C"/>
    <w:rsid w:val="009F2C25"/>
    <w:rsid w:val="00A93D4A"/>
    <w:rsid w:val="00C33731"/>
    <w:rsid w:val="00D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ADC9-CAB6-4964-9BAF-FF9375AA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D4A"/>
  </w:style>
  <w:style w:type="paragraph" w:styleId="Odlomakpopisa">
    <w:name w:val="List Paragraph"/>
    <w:basedOn w:val="Normal"/>
    <w:uiPriority w:val="34"/>
    <w:qFormat/>
    <w:rsid w:val="0078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4</cp:revision>
  <dcterms:created xsi:type="dcterms:W3CDTF">2015-11-06T13:17:00Z</dcterms:created>
  <dcterms:modified xsi:type="dcterms:W3CDTF">2015-11-06T13:34:00Z</dcterms:modified>
</cp:coreProperties>
</file>